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E902" w14:textId="422181B5" w:rsidR="004E616A" w:rsidRPr="00814B69" w:rsidRDefault="00814B69" w:rsidP="004E616A">
      <w:pPr>
        <w:shd w:val="clear" w:color="auto" w:fill="FFFFFF"/>
        <w:spacing w:after="450" w:line="240" w:lineRule="auto"/>
        <w:outlineLvl w:val="0"/>
        <w:rPr>
          <w:rFonts w:ascii="Arial" w:eastAsia="Times New Roman" w:hAnsi="Arial" w:cs="Arial"/>
          <w:b/>
          <w:bCs/>
          <w:color w:val="222222"/>
          <w:kern w:val="36"/>
          <w:sz w:val="39"/>
          <w:szCs w:val="39"/>
          <w:u w:val="single"/>
          <w:lang w:eastAsia="en-IN"/>
        </w:rPr>
      </w:pPr>
      <w:r w:rsidRPr="00814B69">
        <w:rPr>
          <w:rFonts w:ascii="Arial" w:eastAsia="Times New Roman" w:hAnsi="Arial" w:cs="Arial"/>
          <w:b/>
          <w:bCs/>
          <w:color w:val="222222"/>
          <w:kern w:val="36"/>
          <w:sz w:val="39"/>
          <w:szCs w:val="39"/>
          <w:u w:val="single"/>
          <w:lang w:eastAsia="en-IN"/>
        </w:rPr>
        <w:t>QUICK LINKS!</w:t>
      </w:r>
    </w:p>
    <w:p w14:paraId="32B63952" w14:textId="77777777" w:rsidR="004E616A" w:rsidRPr="004E616A" w:rsidRDefault="004E616A" w:rsidP="004E616A">
      <w:pPr>
        <w:rPr>
          <w:rFonts w:ascii="Times New Roman" w:hAnsi="Times New Roman" w:cs="Times New Roman"/>
          <w:b/>
          <w:bCs/>
          <w:color w:val="002B46"/>
          <w:sz w:val="36"/>
          <w:szCs w:val="36"/>
          <w:u w:val="single"/>
        </w:rPr>
      </w:pPr>
      <w:r w:rsidRPr="004E616A">
        <w:rPr>
          <w:rFonts w:ascii="Times New Roman" w:hAnsi="Times New Roman" w:cs="Times New Roman"/>
          <w:b/>
          <w:bCs/>
          <w:sz w:val="36"/>
          <w:szCs w:val="36"/>
          <w:u w:val="single"/>
        </w:rPr>
        <w:t>STATUS</w:t>
      </w:r>
    </w:p>
    <w:p w14:paraId="15585910" w14:textId="4FF1C8D9" w:rsidR="004E616A" w:rsidRDefault="004E616A" w:rsidP="004E616A">
      <w:pPr>
        <w:rPr>
          <w:color w:val="616161"/>
          <w:sz w:val="21"/>
          <w:szCs w:val="21"/>
        </w:rPr>
      </w:pPr>
      <w:r w:rsidRPr="004E616A">
        <w:rPr>
          <w:color w:val="616161"/>
          <w:sz w:val="28"/>
          <w:szCs w:val="28"/>
        </w:rPr>
        <w:t xml:space="preserve">STATUS OF </w:t>
      </w:r>
      <w:r>
        <w:rPr>
          <w:color w:val="616161"/>
          <w:sz w:val="28"/>
          <w:szCs w:val="28"/>
        </w:rPr>
        <w:t>KIBM</w:t>
      </w:r>
      <w:r w:rsidRPr="004E616A">
        <w:rPr>
          <w:color w:val="616161"/>
          <w:sz w:val="28"/>
          <w:szCs w:val="28"/>
        </w:rPr>
        <w:t xml:space="preserve"> INDIA It has been constituted to regulate non formal Primary, Middle, Matriculation (10th), Senior Secondary (12th) education and other vocational courses (Under Education Scheme) in India with the help of educational experts to educate uneducated boys, girls, men and women to uplift the standards of literacy in India, </w:t>
      </w:r>
      <w:proofErr w:type="gramStart"/>
      <w:r w:rsidRPr="004E616A">
        <w:rPr>
          <w:color w:val="616161"/>
          <w:sz w:val="28"/>
          <w:szCs w:val="28"/>
        </w:rPr>
        <w:t>So</w:t>
      </w:r>
      <w:proofErr w:type="gramEnd"/>
      <w:r w:rsidRPr="004E616A">
        <w:rPr>
          <w:color w:val="616161"/>
          <w:sz w:val="28"/>
          <w:szCs w:val="28"/>
        </w:rPr>
        <w:t xml:space="preserve"> that they can serve society effectively and with dignity. Council may impart education with international techniques and with stress on morally, mentally, physically and social personality. Ours is an autonomous body and all educational Boards/Universities/Councils are autonomous bodies &amp; each educational organization having discretionary powers. According to these powers every board /University (state govt. / central govt.) having the liberty and right to take own decision either to allow or refuse any admission / service. But we do our best to make success the </w:t>
      </w:r>
      <w:proofErr w:type="spellStart"/>
      <w:r w:rsidRPr="004E616A">
        <w:rPr>
          <w:color w:val="616161"/>
          <w:sz w:val="28"/>
          <w:szCs w:val="28"/>
        </w:rPr>
        <w:t>non formal</w:t>
      </w:r>
      <w:proofErr w:type="spellEnd"/>
      <w:r w:rsidRPr="004E616A">
        <w:rPr>
          <w:color w:val="616161"/>
          <w:sz w:val="28"/>
          <w:szCs w:val="28"/>
        </w:rPr>
        <w:t xml:space="preserve"> education programme. All the education programme run by the </w:t>
      </w:r>
      <w:r>
        <w:rPr>
          <w:color w:val="616161"/>
          <w:sz w:val="28"/>
          <w:szCs w:val="28"/>
        </w:rPr>
        <w:t>KIBM</w:t>
      </w:r>
      <w:r w:rsidRPr="004E616A">
        <w:rPr>
          <w:color w:val="616161"/>
          <w:sz w:val="28"/>
          <w:szCs w:val="28"/>
        </w:rPr>
        <w:t xml:space="preserve"> INDIA</w:t>
      </w:r>
      <w:r>
        <w:rPr>
          <w:color w:val="616161"/>
          <w:sz w:val="28"/>
          <w:szCs w:val="28"/>
        </w:rPr>
        <w:t xml:space="preserve"> </w:t>
      </w:r>
      <w:r w:rsidRPr="004E616A">
        <w:rPr>
          <w:color w:val="616161"/>
          <w:sz w:val="28"/>
          <w:szCs w:val="28"/>
        </w:rPr>
        <w:t>is council’s own autonomous education programme. Legality, Validity, Utility of the education programme is strict conformity with the constitution of India and law of the land under Article 19(1) G, 29 &amp; 30</w:t>
      </w:r>
      <w:r>
        <w:rPr>
          <w:color w:val="616161"/>
          <w:sz w:val="21"/>
          <w:szCs w:val="21"/>
        </w:rPr>
        <w:t>.</w:t>
      </w:r>
    </w:p>
    <w:p w14:paraId="09B30806" w14:textId="344783D4" w:rsidR="004E616A" w:rsidRDefault="004E616A" w:rsidP="004E616A">
      <w:pPr>
        <w:rPr>
          <w:color w:val="616161"/>
          <w:sz w:val="21"/>
          <w:szCs w:val="21"/>
        </w:rPr>
      </w:pPr>
    </w:p>
    <w:p w14:paraId="04889E5D" w14:textId="1A4E9E4C" w:rsidR="004E616A" w:rsidRPr="004E616A" w:rsidRDefault="004E616A" w:rsidP="004E616A">
      <w:pPr>
        <w:pStyle w:val="NoSpacing"/>
        <w:rPr>
          <w:rStyle w:val="Strong"/>
          <w:sz w:val="32"/>
          <w:szCs w:val="32"/>
        </w:rPr>
      </w:pPr>
      <w:r w:rsidRPr="004E616A">
        <w:rPr>
          <w:rStyle w:val="Strong"/>
          <w:sz w:val="32"/>
          <w:szCs w:val="32"/>
        </w:rPr>
        <w:t>FUNDAMENTAL RIGHT AND REASONABLE RESTRICTION UNDER CONSTITUTION OF INDIA.</w:t>
      </w:r>
    </w:p>
    <w:p w14:paraId="37728EE8" w14:textId="77777777" w:rsidR="004E616A" w:rsidRPr="004E616A" w:rsidRDefault="004E616A" w:rsidP="004E616A">
      <w:pPr>
        <w:pStyle w:val="NoSpacing"/>
        <w:rPr>
          <w:rStyle w:val="Strong"/>
          <w:rFonts w:ascii="Times New Roman" w:hAnsi="Times New Roman" w:cs="Times New Roman"/>
          <w:b w:val="0"/>
          <w:bCs w:val="0"/>
        </w:rPr>
      </w:pPr>
    </w:p>
    <w:p w14:paraId="369937F4" w14:textId="551B9B0E" w:rsidR="004E616A" w:rsidRDefault="004E616A" w:rsidP="004E616A">
      <w:pPr>
        <w:pStyle w:val="NoSpacing"/>
        <w:rPr>
          <w:rStyle w:val="Strong"/>
          <w:rFonts w:ascii="Times New Roman" w:hAnsi="Times New Roman" w:cs="Times New Roman"/>
          <w:b w:val="0"/>
          <w:bCs w:val="0"/>
        </w:rPr>
      </w:pPr>
      <w:r w:rsidRPr="004E616A">
        <w:rPr>
          <w:rStyle w:val="Strong"/>
          <w:rFonts w:ascii="Times New Roman" w:hAnsi="Times New Roman" w:cs="Times New Roman"/>
          <w:b w:val="0"/>
          <w:bCs w:val="0"/>
          <w:sz w:val="28"/>
          <w:szCs w:val="28"/>
        </w:rPr>
        <w:t xml:space="preserve">The only reasonable restriction on the exercise of this right can be imposed under Article 19 (1) (g) and is imposed in clause 19 (6). The only restriction is that State can make the law imposing reasonable restriction in the interest of general public or any restriction regarding profession and technical qualification necessary for practicing any profession or occupation, trade or business. Since so </w:t>
      </w:r>
      <w:proofErr w:type="gramStart"/>
      <w:r w:rsidRPr="004E616A">
        <w:rPr>
          <w:rStyle w:val="Strong"/>
          <w:rFonts w:ascii="Times New Roman" w:hAnsi="Times New Roman" w:cs="Times New Roman"/>
          <w:b w:val="0"/>
          <w:bCs w:val="0"/>
          <w:sz w:val="28"/>
          <w:szCs w:val="28"/>
        </w:rPr>
        <w:t>far</w:t>
      </w:r>
      <w:proofErr w:type="gramEnd"/>
      <w:r w:rsidRPr="004E616A">
        <w:rPr>
          <w:rStyle w:val="Strong"/>
          <w:rFonts w:ascii="Times New Roman" w:hAnsi="Times New Roman" w:cs="Times New Roman"/>
          <w:b w:val="0"/>
          <w:bCs w:val="0"/>
          <w:sz w:val="28"/>
          <w:szCs w:val="28"/>
        </w:rPr>
        <w:t xml:space="preserve"> no such professional or technical qualification have been notified, therefore, the trustees/members of the Board/Council through their Society have a fundamental right to carry on the profession / occupation of running the Institutes which imparts education</w:t>
      </w:r>
      <w:r w:rsidRPr="004E616A">
        <w:rPr>
          <w:rStyle w:val="Strong"/>
          <w:rFonts w:ascii="Times New Roman" w:hAnsi="Times New Roman" w:cs="Times New Roman"/>
          <w:b w:val="0"/>
          <w:bCs w:val="0"/>
        </w:rPr>
        <w:t>.</w:t>
      </w:r>
    </w:p>
    <w:p w14:paraId="1F1852F0" w14:textId="0332756B" w:rsidR="004E616A" w:rsidRDefault="004E616A" w:rsidP="004E616A">
      <w:pPr>
        <w:pStyle w:val="NoSpacing"/>
        <w:rPr>
          <w:rStyle w:val="Strong"/>
          <w:rFonts w:ascii="Times New Roman" w:hAnsi="Times New Roman" w:cs="Times New Roman"/>
          <w:b w:val="0"/>
          <w:bCs w:val="0"/>
        </w:rPr>
      </w:pPr>
    </w:p>
    <w:p w14:paraId="41CF2E23" w14:textId="4429CB42" w:rsidR="004E616A" w:rsidRDefault="004E616A" w:rsidP="004E616A">
      <w:pPr>
        <w:pStyle w:val="NoSpacing"/>
        <w:rPr>
          <w:rStyle w:val="Strong"/>
          <w:rFonts w:ascii="Times New Roman" w:hAnsi="Times New Roman" w:cs="Times New Roman"/>
          <w:b w:val="0"/>
          <w:bCs w:val="0"/>
        </w:rPr>
      </w:pPr>
    </w:p>
    <w:p w14:paraId="12678BF4" w14:textId="2970D57A" w:rsidR="004E616A" w:rsidRDefault="004E616A" w:rsidP="004E616A">
      <w:pPr>
        <w:pStyle w:val="NoSpacing"/>
        <w:rPr>
          <w:rStyle w:val="Strong"/>
          <w:rFonts w:ascii="Times New Roman" w:hAnsi="Times New Roman" w:cs="Times New Roman"/>
          <w:b w:val="0"/>
          <w:bCs w:val="0"/>
        </w:rPr>
      </w:pPr>
    </w:p>
    <w:p w14:paraId="68BA67E2" w14:textId="52303CA4" w:rsidR="004E616A" w:rsidRDefault="004E616A" w:rsidP="004E616A">
      <w:pPr>
        <w:pStyle w:val="NoSpacing"/>
        <w:rPr>
          <w:rStyle w:val="Strong"/>
          <w:rFonts w:ascii="Times New Roman" w:hAnsi="Times New Roman" w:cs="Times New Roman"/>
          <w:b w:val="0"/>
          <w:bCs w:val="0"/>
        </w:rPr>
      </w:pPr>
    </w:p>
    <w:p w14:paraId="1F933CDE" w14:textId="77777777" w:rsidR="004E616A" w:rsidRPr="004E616A" w:rsidRDefault="004E616A" w:rsidP="004E616A">
      <w:pPr>
        <w:pStyle w:val="NoSpacing"/>
        <w:rPr>
          <w:rStyle w:val="Strong"/>
          <w:rFonts w:ascii="Times New Roman" w:hAnsi="Times New Roman" w:cs="Times New Roman"/>
          <w:b w:val="0"/>
          <w:bCs w:val="0"/>
        </w:rPr>
      </w:pPr>
    </w:p>
    <w:p w14:paraId="55959192"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5" w:tgtFrame="_blank" w:tooltip="MHRD Notification" w:history="1">
        <w:r w:rsidR="004E616A" w:rsidRPr="00814B69">
          <w:rPr>
            <w:rFonts w:ascii="Open Sans" w:eastAsia="Times New Roman" w:hAnsi="Open Sans" w:cs="Open Sans"/>
            <w:b/>
            <w:bCs/>
            <w:color w:val="222222"/>
            <w:sz w:val="24"/>
            <w:szCs w:val="24"/>
            <w:u w:val="single"/>
            <w:lang w:eastAsia="en-IN"/>
          </w:rPr>
          <w:t>MHRD Notification</w:t>
        </w:r>
      </w:hyperlink>
    </w:p>
    <w:p w14:paraId="65FE6F72"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6" w:tgtFrame="_blank" w:history="1">
        <w:r w:rsidR="004E616A" w:rsidRPr="00814B69">
          <w:rPr>
            <w:rFonts w:ascii="Open Sans" w:eastAsia="Times New Roman" w:hAnsi="Open Sans" w:cs="Open Sans"/>
            <w:b/>
            <w:bCs/>
            <w:color w:val="222222"/>
            <w:sz w:val="24"/>
            <w:szCs w:val="24"/>
            <w:u w:val="single"/>
            <w:lang w:eastAsia="en-IN"/>
          </w:rPr>
          <w:t>UGC Notification</w:t>
        </w:r>
      </w:hyperlink>
    </w:p>
    <w:p w14:paraId="6D0655BB"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7" w:tgtFrame="_blank" w:history="1">
        <w:r w:rsidR="004E616A" w:rsidRPr="00814B69">
          <w:rPr>
            <w:rFonts w:ascii="Open Sans" w:eastAsia="Times New Roman" w:hAnsi="Open Sans" w:cs="Open Sans"/>
            <w:b/>
            <w:bCs/>
            <w:color w:val="222222"/>
            <w:sz w:val="24"/>
            <w:szCs w:val="24"/>
            <w:u w:val="single"/>
            <w:lang w:eastAsia="en-IN"/>
          </w:rPr>
          <w:t>UGC Notification-2</w:t>
        </w:r>
      </w:hyperlink>
    </w:p>
    <w:p w14:paraId="2713E7AA"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8" w:tgtFrame="_blank" w:history="1">
        <w:r w:rsidR="004E616A" w:rsidRPr="00814B69">
          <w:rPr>
            <w:rFonts w:ascii="Open Sans" w:eastAsia="Times New Roman" w:hAnsi="Open Sans" w:cs="Open Sans"/>
            <w:b/>
            <w:bCs/>
            <w:color w:val="222222"/>
            <w:sz w:val="24"/>
            <w:szCs w:val="24"/>
            <w:u w:val="single"/>
            <w:lang w:eastAsia="en-IN"/>
          </w:rPr>
          <w:t>High Court Decision RCI Regulation</w:t>
        </w:r>
      </w:hyperlink>
    </w:p>
    <w:p w14:paraId="41AB1AA2"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9" w:tgtFrame="_blank" w:history="1">
        <w:r w:rsidR="004E616A" w:rsidRPr="00814B69">
          <w:rPr>
            <w:rFonts w:ascii="Open Sans" w:eastAsia="Times New Roman" w:hAnsi="Open Sans" w:cs="Open Sans"/>
            <w:b/>
            <w:bCs/>
            <w:color w:val="222222"/>
            <w:sz w:val="24"/>
            <w:szCs w:val="24"/>
            <w:u w:val="single"/>
            <w:lang w:eastAsia="en-IN"/>
          </w:rPr>
          <w:t>National Education Policy 1986</w:t>
        </w:r>
      </w:hyperlink>
    </w:p>
    <w:p w14:paraId="5C298354"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0" w:tgtFrame="_blank" w:history="1">
        <w:r w:rsidR="004E616A" w:rsidRPr="00814B69">
          <w:rPr>
            <w:rFonts w:ascii="Open Sans" w:eastAsia="Times New Roman" w:hAnsi="Open Sans" w:cs="Open Sans"/>
            <w:b/>
            <w:bCs/>
            <w:color w:val="222222"/>
            <w:sz w:val="24"/>
            <w:szCs w:val="24"/>
            <w:u w:val="single"/>
            <w:lang w:eastAsia="en-IN"/>
          </w:rPr>
          <w:t>NVE Qualification Order</w:t>
        </w:r>
      </w:hyperlink>
    </w:p>
    <w:p w14:paraId="3FA01C7C"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1" w:tgtFrame="_blank" w:history="1">
        <w:r w:rsidR="004E616A" w:rsidRPr="00814B69">
          <w:rPr>
            <w:rFonts w:ascii="Open Sans" w:eastAsia="Times New Roman" w:hAnsi="Open Sans" w:cs="Open Sans"/>
            <w:b/>
            <w:bCs/>
            <w:color w:val="222222"/>
            <w:sz w:val="24"/>
            <w:szCs w:val="24"/>
            <w:u w:val="single"/>
            <w:lang w:eastAsia="en-IN"/>
          </w:rPr>
          <w:t>Accreditation for Higher Education</w:t>
        </w:r>
      </w:hyperlink>
    </w:p>
    <w:p w14:paraId="7C719B42"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2" w:tgtFrame="_blank" w:history="1">
        <w:r w:rsidR="004E616A" w:rsidRPr="00814B69">
          <w:rPr>
            <w:rFonts w:ascii="Open Sans" w:eastAsia="Times New Roman" w:hAnsi="Open Sans" w:cs="Open Sans"/>
            <w:b/>
            <w:bCs/>
            <w:color w:val="222222"/>
            <w:sz w:val="24"/>
            <w:szCs w:val="24"/>
            <w:u w:val="single"/>
            <w:lang w:eastAsia="en-IN"/>
          </w:rPr>
          <w:t>AIU Evaluation</w:t>
        </w:r>
      </w:hyperlink>
    </w:p>
    <w:p w14:paraId="2D5E277E"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3" w:tgtFrame="_blank" w:history="1">
        <w:r w:rsidR="004E616A" w:rsidRPr="00814B69">
          <w:rPr>
            <w:rFonts w:ascii="Open Sans" w:eastAsia="Times New Roman" w:hAnsi="Open Sans" w:cs="Open Sans"/>
            <w:b/>
            <w:bCs/>
            <w:color w:val="222222"/>
            <w:sz w:val="24"/>
            <w:szCs w:val="24"/>
            <w:u w:val="single"/>
            <w:lang w:eastAsia="en-IN"/>
          </w:rPr>
          <w:t>Interim Report of the Oversight Committee</w:t>
        </w:r>
      </w:hyperlink>
    </w:p>
    <w:p w14:paraId="101DD1A3"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4" w:tgtFrame="_blank" w:history="1">
        <w:r w:rsidR="004E616A" w:rsidRPr="00814B69">
          <w:rPr>
            <w:rFonts w:ascii="Open Sans" w:eastAsia="Times New Roman" w:hAnsi="Open Sans" w:cs="Open Sans"/>
            <w:b/>
            <w:bCs/>
            <w:color w:val="222222"/>
            <w:sz w:val="24"/>
            <w:szCs w:val="24"/>
            <w:u w:val="single"/>
            <w:lang w:eastAsia="en-IN"/>
          </w:rPr>
          <w:t>Minority Education</w:t>
        </w:r>
      </w:hyperlink>
    </w:p>
    <w:p w14:paraId="63000AEB"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5" w:tgtFrame="_blank" w:history="1">
        <w:r w:rsidR="004E616A" w:rsidRPr="00814B69">
          <w:rPr>
            <w:rFonts w:ascii="Open Sans" w:eastAsia="Times New Roman" w:hAnsi="Open Sans" w:cs="Open Sans"/>
            <w:b/>
            <w:bCs/>
            <w:color w:val="222222"/>
            <w:sz w:val="24"/>
            <w:szCs w:val="24"/>
            <w:u w:val="single"/>
            <w:lang w:eastAsia="en-IN"/>
          </w:rPr>
          <w:t>Open Schooling Issues &amp; Challenges</w:t>
        </w:r>
      </w:hyperlink>
    </w:p>
    <w:p w14:paraId="13AFB5C3"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6" w:tgtFrame="_blank" w:history="1">
        <w:r w:rsidR="004E616A" w:rsidRPr="00814B69">
          <w:rPr>
            <w:rFonts w:ascii="Open Sans" w:eastAsia="Times New Roman" w:hAnsi="Open Sans" w:cs="Open Sans"/>
            <w:b/>
            <w:bCs/>
            <w:color w:val="222222"/>
            <w:sz w:val="24"/>
            <w:szCs w:val="24"/>
            <w:u w:val="single"/>
            <w:lang w:eastAsia="en-IN"/>
          </w:rPr>
          <w:t>OPEN SCHOOLING</w:t>
        </w:r>
      </w:hyperlink>
    </w:p>
    <w:p w14:paraId="56DCABE4"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7" w:tgtFrame="_blank" w:history="1">
        <w:r w:rsidR="004E616A" w:rsidRPr="00814B69">
          <w:rPr>
            <w:rFonts w:ascii="Open Sans" w:eastAsia="Times New Roman" w:hAnsi="Open Sans" w:cs="Open Sans"/>
            <w:b/>
            <w:bCs/>
            <w:color w:val="222222"/>
            <w:sz w:val="24"/>
            <w:szCs w:val="24"/>
            <w:u w:val="single"/>
            <w:lang w:eastAsia="en-IN"/>
          </w:rPr>
          <w:t>Quality in School Education</w:t>
        </w:r>
      </w:hyperlink>
    </w:p>
    <w:p w14:paraId="6ABB308D"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8" w:tgtFrame="_blank" w:history="1">
        <w:r w:rsidR="004E616A" w:rsidRPr="00814B69">
          <w:rPr>
            <w:rFonts w:ascii="Open Sans" w:eastAsia="Times New Roman" w:hAnsi="Open Sans" w:cs="Open Sans"/>
            <w:b/>
            <w:bCs/>
            <w:color w:val="222222"/>
            <w:sz w:val="24"/>
            <w:szCs w:val="24"/>
            <w:u w:val="single"/>
            <w:lang w:eastAsia="en-IN"/>
          </w:rPr>
          <w:t>VOS-NGOs for the Welfare of OBC</w:t>
        </w:r>
      </w:hyperlink>
    </w:p>
    <w:p w14:paraId="2A42928D"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19" w:tgtFrame="_blank" w:history="1">
        <w:r w:rsidR="004E616A" w:rsidRPr="00814B69">
          <w:rPr>
            <w:rFonts w:ascii="Open Sans" w:eastAsia="Times New Roman" w:hAnsi="Open Sans" w:cs="Open Sans"/>
            <w:b/>
            <w:bCs/>
            <w:color w:val="222222"/>
            <w:sz w:val="24"/>
            <w:szCs w:val="24"/>
            <w:u w:val="single"/>
            <w:lang w:eastAsia="en-IN"/>
          </w:rPr>
          <w:t>Assistance to Voluntary Agencies</w:t>
        </w:r>
      </w:hyperlink>
    </w:p>
    <w:p w14:paraId="56FCF254"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20" w:tgtFrame="_blank" w:history="1">
        <w:r w:rsidR="004E616A" w:rsidRPr="00814B69">
          <w:rPr>
            <w:rFonts w:ascii="Open Sans" w:eastAsia="Times New Roman" w:hAnsi="Open Sans" w:cs="Open Sans"/>
            <w:b/>
            <w:bCs/>
            <w:color w:val="222222"/>
            <w:sz w:val="24"/>
            <w:szCs w:val="24"/>
            <w:u w:val="single"/>
            <w:lang w:eastAsia="en-IN"/>
          </w:rPr>
          <w:t>IDMI Scheme</w:t>
        </w:r>
      </w:hyperlink>
    </w:p>
    <w:p w14:paraId="40E968D1"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21" w:tgtFrame="_blank" w:history="1">
        <w:r w:rsidR="004E616A" w:rsidRPr="00814B69">
          <w:rPr>
            <w:rFonts w:ascii="Open Sans" w:eastAsia="Times New Roman" w:hAnsi="Open Sans" w:cs="Open Sans"/>
            <w:b/>
            <w:bCs/>
            <w:color w:val="222222"/>
            <w:sz w:val="24"/>
            <w:szCs w:val="24"/>
            <w:u w:val="single"/>
            <w:lang w:eastAsia="en-IN"/>
          </w:rPr>
          <w:t>National Policy on Education</w:t>
        </w:r>
      </w:hyperlink>
    </w:p>
    <w:p w14:paraId="5566EDC5"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22" w:tgtFrame="_blank" w:history="1">
        <w:r w:rsidR="004E616A" w:rsidRPr="00814B69">
          <w:rPr>
            <w:rFonts w:ascii="Open Sans" w:eastAsia="Times New Roman" w:hAnsi="Open Sans" w:cs="Open Sans"/>
            <w:b/>
            <w:bCs/>
            <w:color w:val="222222"/>
            <w:sz w:val="24"/>
            <w:szCs w:val="24"/>
            <w:u w:val="single"/>
            <w:lang w:eastAsia="en-IN"/>
          </w:rPr>
          <w:t>Recognition of Certificate</w:t>
        </w:r>
      </w:hyperlink>
    </w:p>
    <w:p w14:paraId="68BC8238"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23" w:tgtFrame="_blank" w:history="1">
        <w:r w:rsidR="004E616A" w:rsidRPr="00814B69">
          <w:rPr>
            <w:rFonts w:ascii="Open Sans" w:eastAsia="Times New Roman" w:hAnsi="Open Sans" w:cs="Open Sans"/>
            <w:b/>
            <w:bCs/>
            <w:color w:val="222222"/>
            <w:sz w:val="24"/>
            <w:szCs w:val="24"/>
            <w:u w:val="single"/>
            <w:lang w:eastAsia="en-IN"/>
          </w:rPr>
          <w:t xml:space="preserve">Scheme of </w:t>
        </w:r>
        <w:proofErr w:type="spellStart"/>
        <w:r w:rsidR="004E616A" w:rsidRPr="00814B69">
          <w:rPr>
            <w:rFonts w:ascii="Open Sans" w:eastAsia="Times New Roman" w:hAnsi="Open Sans" w:cs="Open Sans"/>
            <w:b/>
            <w:bCs/>
            <w:color w:val="222222"/>
            <w:sz w:val="24"/>
            <w:szCs w:val="24"/>
            <w:u w:val="single"/>
            <w:lang w:eastAsia="en-IN"/>
          </w:rPr>
          <w:t>Vocationalisation</w:t>
        </w:r>
        <w:proofErr w:type="spellEnd"/>
        <w:r w:rsidR="004E616A" w:rsidRPr="00814B69">
          <w:rPr>
            <w:rFonts w:ascii="Open Sans" w:eastAsia="Times New Roman" w:hAnsi="Open Sans" w:cs="Open Sans"/>
            <w:b/>
            <w:bCs/>
            <w:color w:val="222222"/>
            <w:sz w:val="24"/>
            <w:szCs w:val="24"/>
            <w:u w:val="single"/>
            <w:lang w:eastAsia="en-IN"/>
          </w:rPr>
          <w:t xml:space="preserve"> of Secondary Education</w:t>
        </w:r>
      </w:hyperlink>
    </w:p>
    <w:p w14:paraId="22DC8E83" w14:textId="77777777"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24" w:tgtFrame="_blank" w:history="1">
        <w:r w:rsidR="004E616A" w:rsidRPr="00814B69">
          <w:rPr>
            <w:rFonts w:ascii="Open Sans" w:eastAsia="Times New Roman" w:hAnsi="Open Sans" w:cs="Open Sans"/>
            <w:b/>
            <w:bCs/>
            <w:color w:val="222222"/>
            <w:sz w:val="24"/>
            <w:szCs w:val="24"/>
            <w:u w:val="single"/>
            <w:lang w:eastAsia="en-IN"/>
          </w:rPr>
          <w:t>UGC Notification for ODL Degrees</w:t>
        </w:r>
      </w:hyperlink>
    </w:p>
    <w:p w14:paraId="02540E36" w14:textId="69FDFD78" w:rsidR="004E616A" w:rsidRPr="00814B69" w:rsidRDefault="00814B69" w:rsidP="004E616A">
      <w:pPr>
        <w:numPr>
          <w:ilvl w:val="0"/>
          <w:numId w:val="1"/>
        </w:numPr>
        <w:shd w:val="clear" w:color="auto" w:fill="FFFFFF"/>
        <w:spacing w:before="100" w:beforeAutospacing="1" w:after="100" w:afterAutospacing="1" w:line="390" w:lineRule="atLeast"/>
        <w:rPr>
          <w:rFonts w:ascii="Open Sans" w:eastAsia="Times New Roman" w:hAnsi="Open Sans" w:cs="Open Sans"/>
          <w:b/>
          <w:bCs/>
          <w:color w:val="333333"/>
          <w:sz w:val="24"/>
          <w:szCs w:val="24"/>
          <w:lang w:eastAsia="en-IN"/>
        </w:rPr>
      </w:pPr>
      <w:hyperlink r:id="rId25" w:tgtFrame="_blank" w:history="1">
        <w:r w:rsidR="004E616A" w:rsidRPr="00814B69">
          <w:rPr>
            <w:rFonts w:ascii="Open Sans" w:eastAsia="Times New Roman" w:hAnsi="Open Sans" w:cs="Open Sans"/>
            <w:b/>
            <w:bCs/>
            <w:color w:val="222222"/>
            <w:sz w:val="24"/>
            <w:szCs w:val="24"/>
            <w:u w:val="single"/>
            <w:lang w:eastAsia="en-IN"/>
          </w:rPr>
          <w:t>UGC FAKE LIST</w:t>
        </w:r>
      </w:hyperlink>
      <w:r w:rsidR="004E616A" w:rsidRPr="00814B69">
        <w:rPr>
          <w:rFonts w:ascii="Open Sans" w:eastAsia="Times New Roman" w:hAnsi="Open Sans" w:cs="Open Sans"/>
          <w:b/>
          <w:bCs/>
          <w:color w:val="333333"/>
          <w:sz w:val="24"/>
          <w:szCs w:val="24"/>
          <w:lang w:eastAsia="en-IN"/>
        </w:rPr>
        <w:t>.</w:t>
      </w:r>
    </w:p>
    <w:p w14:paraId="0D52F576" w14:textId="77777777" w:rsidR="000F3E7B" w:rsidRDefault="000F3E7B"/>
    <w:sectPr w:rsidR="000F3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E2DDC"/>
    <w:multiLevelType w:val="multilevel"/>
    <w:tmpl w:val="23D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6A"/>
    <w:rsid w:val="000F3E7B"/>
    <w:rsid w:val="004E616A"/>
    <w:rsid w:val="00814B69"/>
    <w:rsid w:val="00CF3F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3199"/>
  <w15:chartTrackingRefBased/>
  <w15:docId w15:val="{E95B4625-8FBA-4C29-A7C7-0335872A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61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6A"/>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4E616A"/>
    <w:rPr>
      <w:color w:val="0000FF"/>
      <w:u w:val="single"/>
    </w:rPr>
  </w:style>
  <w:style w:type="paragraph" w:styleId="NormalWeb">
    <w:name w:val="Normal (Web)"/>
    <w:basedOn w:val="Normal"/>
    <w:uiPriority w:val="99"/>
    <w:semiHidden/>
    <w:unhideWhenUsed/>
    <w:rsid w:val="004E616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616A"/>
    <w:rPr>
      <w:b/>
      <w:bCs/>
    </w:rPr>
  </w:style>
  <w:style w:type="paragraph" w:styleId="NoSpacing">
    <w:name w:val="No Spacing"/>
    <w:uiPriority w:val="1"/>
    <w:qFormat/>
    <w:rsid w:val="004E6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71027">
      <w:bodyDiv w:val="1"/>
      <w:marLeft w:val="0"/>
      <w:marRight w:val="0"/>
      <w:marTop w:val="0"/>
      <w:marBottom w:val="0"/>
      <w:divBdr>
        <w:top w:val="none" w:sz="0" w:space="0" w:color="auto"/>
        <w:left w:val="none" w:sz="0" w:space="0" w:color="auto"/>
        <w:bottom w:val="none" w:sz="0" w:space="0" w:color="auto"/>
        <w:right w:val="none" w:sz="0" w:space="0" w:color="auto"/>
      </w:divBdr>
      <w:divsChild>
        <w:div w:id="254440088">
          <w:marLeft w:val="0"/>
          <w:marRight w:val="0"/>
          <w:marTop w:val="0"/>
          <w:marBottom w:val="0"/>
          <w:divBdr>
            <w:top w:val="none" w:sz="0" w:space="0" w:color="auto"/>
            <w:left w:val="none" w:sz="0" w:space="0" w:color="auto"/>
            <w:bottom w:val="none" w:sz="0" w:space="0" w:color="auto"/>
            <w:right w:val="none" w:sz="0" w:space="0" w:color="auto"/>
          </w:divBdr>
        </w:div>
        <w:div w:id="1745908688">
          <w:marLeft w:val="0"/>
          <w:marRight w:val="0"/>
          <w:marTop w:val="0"/>
          <w:marBottom w:val="0"/>
          <w:divBdr>
            <w:top w:val="none" w:sz="0" w:space="0" w:color="auto"/>
            <w:left w:val="none" w:sz="0" w:space="0" w:color="auto"/>
            <w:bottom w:val="none" w:sz="0" w:space="0" w:color="auto"/>
            <w:right w:val="none" w:sz="0" w:space="0" w:color="auto"/>
          </w:divBdr>
        </w:div>
      </w:divsChild>
    </w:div>
    <w:div w:id="1006059850">
      <w:bodyDiv w:val="1"/>
      <w:marLeft w:val="0"/>
      <w:marRight w:val="0"/>
      <w:marTop w:val="0"/>
      <w:marBottom w:val="0"/>
      <w:divBdr>
        <w:top w:val="none" w:sz="0" w:space="0" w:color="auto"/>
        <w:left w:val="none" w:sz="0" w:space="0" w:color="auto"/>
        <w:bottom w:val="none" w:sz="0" w:space="0" w:color="auto"/>
        <w:right w:val="none" w:sz="0" w:space="0" w:color="auto"/>
      </w:divBdr>
      <w:divsChild>
        <w:div w:id="873808035">
          <w:marLeft w:val="0"/>
          <w:marRight w:val="0"/>
          <w:marTop w:val="0"/>
          <w:marBottom w:val="0"/>
          <w:divBdr>
            <w:top w:val="none" w:sz="0" w:space="0" w:color="auto"/>
            <w:left w:val="none" w:sz="0" w:space="0" w:color="auto"/>
            <w:bottom w:val="none" w:sz="0" w:space="0" w:color="auto"/>
            <w:right w:val="none" w:sz="0" w:space="0" w:color="auto"/>
          </w:divBdr>
          <w:divsChild>
            <w:div w:id="14843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mte.in/uploads/links/HIGHCOURT-DECISION-RCI-REGULATION.pdf" TargetMode="External"/><Relationship Id="rId13" Type="http://schemas.openxmlformats.org/officeDocument/2006/relationships/hyperlink" Target="http://kimte.in/uploads/links/INTERIM-REPORT-OF-THE-OVERSIGHT-COMMITTEE.pdf" TargetMode="External"/><Relationship Id="rId18" Type="http://schemas.openxmlformats.org/officeDocument/2006/relationships/hyperlink" Target="http://kimte.in/uploads/links/SCHEME-OF-ASSISTANCE-TO-VOS-NGOS-FOR-THE-WELFARE-OF-OBC.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kimte.in/uploads/links/NATIONAL-POLICY-ON-EDUCATION.pdf" TargetMode="External"/><Relationship Id="rId7" Type="http://schemas.openxmlformats.org/officeDocument/2006/relationships/hyperlink" Target="http://kimte.in/uploads/links/UGC-notification-2.pdf" TargetMode="External"/><Relationship Id="rId12" Type="http://schemas.openxmlformats.org/officeDocument/2006/relationships/hyperlink" Target="http://kimte.in/uploads/links/AIU-EVALUATION.pdf" TargetMode="External"/><Relationship Id="rId17" Type="http://schemas.openxmlformats.org/officeDocument/2006/relationships/hyperlink" Target="http://kimte.in/uploads/links/QUALITY-IN-SCHOOL-EDUCATION.pdf" TargetMode="External"/><Relationship Id="rId25" Type="http://schemas.openxmlformats.org/officeDocument/2006/relationships/hyperlink" Target="https://www.ugc.gov.in/page/Fake-Universities.aspx" TargetMode="External"/><Relationship Id="rId2" Type="http://schemas.openxmlformats.org/officeDocument/2006/relationships/styles" Target="styles.xml"/><Relationship Id="rId16" Type="http://schemas.openxmlformats.org/officeDocument/2006/relationships/hyperlink" Target="http://kimte.in/uploads/links/OPEN-SCHOOLING.pdf" TargetMode="External"/><Relationship Id="rId20" Type="http://schemas.openxmlformats.org/officeDocument/2006/relationships/hyperlink" Target="http://kimte.in/uploads/links/IDMI-SCHEME.pdf" TargetMode="External"/><Relationship Id="rId1" Type="http://schemas.openxmlformats.org/officeDocument/2006/relationships/numbering" Target="numbering.xml"/><Relationship Id="rId6" Type="http://schemas.openxmlformats.org/officeDocument/2006/relationships/hyperlink" Target="http://kimte.in/uploads/links/UGC-NOTIFICATION.pdf" TargetMode="External"/><Relationship Id="rId11" Type="http://schemas.openxmlformats.org/officeDocument/2006/relationships/hyperlink" Target="http://kimte.in/uploads/links/ACCREDITATION-FOR-HIGHER-EDUCATION.pdf" TargetMode="External"/><Relationship Id="rId24" Type="http://schemas.openxmlformats.org/officeDocument/2006/relationships/hyperlink" Target="http://kimte.in/uploads/links/UGC-NOTIFICATION-FOR-ODL-DEGREES.pdf" TargetMode="External"/><Relationship Id="rId5" Type="http://schemas.openxmlformats.org/officeDocument/2006/relationships/hyperlink" Target="http://kimte.in/uploads/links/MHRD-Notification.pdf" TargetMode="External"/><Relationship Id="rId15" Type="http://schemas.openxmlformats.org/officeDocument/2006/relationships/hyperlink" Target="http://kimte.in/uploads/links/OPEN-SCHOOLING-ISSUES-AND-CHALLENGES.pdf" TargetMode="External"/><Relationship Id="rId23" Type="http://schemas.openxmlformats.org/officeDocument/2006/relationships/hyperlink" Target="http://kimte.in/uploads/links/SCHEME-OF-VOCATIONALISATION-OF-SECONDARY-EDUCATION.pdf" TargetMode="External"/><Relationship Id="rId10" Type="http://schemas.openxmlformats.org/officeDocument/2006/relationships/hyperlink" Target="http://kimte.in/uploads/links/NATIONAL-VOCATIONAL-EDUCATION-QUALIFICATION-ORDER.pdf" TargetMode="External"/><Relationship Id="rId19" Type="http://schemas.openxmlformats.org/officeDocument/2006/relationships/hyperlink" Target="http://kimte.in/uploads/links/ASSISTANCE-TO-VOLUNTARY-AGENCIES.pdf" TargetMode="External"/><Relationship Id="rId4" Type="http://schemas.openxmlformats.org/officeDocument/2006/relationships/webSettings" Target="webSettings.xml"/><Relationship Id="rId9" Type="http://schemas.openxmlformats.org/officeDocument/2006/relationships/hyperlink" Target="http://kimte.in/uploads/links/NATIONAL-EDUCATION-POLICY-1986.pdf" TargetMode="External"/><Relationship Id="rId14" Type="http://schemas.openxmlformats.org/officeDocument/2006/relationships/hyperlink" Target="http://kimte.in/uploads/links/MINORITY-EDUCATION.pdf" TargetMode="External"/><Relationship Id="rId22" Type="http://schemas.openxmlformats.org/officeDocument/2006/relationships/hyperlink" Target="http://kimte.in/uploads/links/RECOGNITION-OF-CERTIFICAT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2026-02-18T09:05:00Z</dcterms:created>
  <dcterms:modified xsi:type="dcterms:W3CDTF">2026-02-19T03:58:00Z</dcterms:modified>
</cp:coreProperties>
</file>